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29" w:rsidRPr="0043200D" w:rsidRDefault="00C82329" w:rsidP="0043200D">
      <w:pPr>
        <w:ind w:left="720" w:firstLine="720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48"/>
          <w:szCs w:val="48"/>
          <w:u w:val="single"/>
        </w:rPr>
      </w:pPr>
      <w:r w:rsidRPr="007C7285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36"/>
          <w:szCs w:val="36"/>
          <w:u w:val="single"/>
        </w:rPr>
        <w:t xml:space="preserve"> </w:t>
      </w:r>
      <w:r w:rsidRPr="0043200D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48"/>
          <w:szCs w:val="48"/>
          <w:u w:val="single"/>
        </w:rPr>
        <w:t>P</w:t>
      </w:r>
      <w:r w:rsidR="0043200D" w:rsidRPr="0043200D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48"/>
          <w:szCs w:val="48"/>
          <w:u w:val="single"/>
        </w:rPr>
        <w:t>RESS COUNCIL OF PAKISTAN</w:t>
      </w:r>
    </w:p>
    <w:p w:rsidR="0043200D" w:rsidRDefault="0043200D" w:rsidP="0043200D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 </w:t>
      </w:r>
    </w:p>
    <w:p w:rsidR="0043200D" w:rsidRPr="0043200D" w:rsidRDefault="0043200D" w:rsidP="0043200D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43200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</w:rPr>
        <w:t>Daily Scanning:</w:t>
      </w:r>
      <w:r w:rsidRPr="0043200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</w:rPr>
        <w:tab/>
        <w:t>All newspapers/periodicals/publications</w:t>
      </w:r>
    </w:p>
    <w:p w:rsidR="0043200D" w:rsidRPr="007C7285" w:rsidRDefault="0043200D" w:rsidP="0043200D">
      <w:pPr>
        <w:ind w:left="1440" w:firstLine="7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</w:pPr>
    </w:p>
    <w:p w:rsidR="00C82329" w:rsidRPr="0043200D" w:rsidRDefault="00C82329" w:rsidP="00C82329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PCP started to address / resolve the complaints related to PCP received in Prime Minister’s Performance Delivery Unit (PMDU).</w:t>
      </w:r>
    </w:p>
    <w:p w:rsidR="00C82329" w:rsidRPr="0043200D" w:rsidRDefault="00C82329" w:rsidP="00C82329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3200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Complaints received through Pakistan Citizen Portal  since January 2019 </w:t>
      </w:r>
      <w:proofErr w:type="spellStart"/>
      <w:r w:rsidRPr="0043200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uptill</w:t>
      </w:r>
      <w:proofErr w:type="spellEnd"/>
      <w:r w:rsidRPr="0043200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now</w:t>
      </w:r>
    </w:p>
    <w:p w:rsidR="00C82329" w:rsidRPr="0043200D" w:rsidRDefault="00C82329" w:rsidP="00C82329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Complaints received</w:t>
      </w: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  <w:t xml:space="preserve">           :</w:t>
      </w: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  <w:t xml:space="preserve">         682</w:t>
      </w:r>
    </w:p>
    <w:p w:rsidR="00C82329" w:rsidRPr="0043200D" w:rsidRDefault="00C82329" w:rsidP="00C82329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Complaints resolved</w:t>
      </w: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  <w:t xml:space="preserve">           :</w:t>
      </w: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  <w:t xml:space="preserve">         681</w:t>
      </w:r>
    </w:p>
    <w:p w:rsidR="00C82329" w:rsidRPr="0043200D" w:rsidRDefault="00C82329" w:rsidP="00C82329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Complaints in Progress        :</w:t>
      </w: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  <w:t xml:space="preserve">           </w:t>
      </w:r>
      <w:r w:rsid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</w: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01</w:t>
      </w:r>
    </w:p>
    <w:p w:rsidR="00C82329" w:rsidRPr="0043200D" w:rsidRDefault="00C82329" w:rsidP="00C82329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PCP is implementing zero visibility policy against proscribed organizations in the print media as per National Action Plan.</w:t>
      </w:r>
    </w:p>
    <w:p w:rsidR="00C82329" w:rsidRPr="0043200D" w:rsidRDefault="00C82329" w:rsidP="00C82329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PCP ensures in print media that no terrorist organi</w:t>
      </w:r>
      <w:r w:rsidR="00A247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za</w:t>
      </w:r>
      <w:r w:rsidRPr="004320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tion or terrorist is being glorified. Moreover, PCP issues notices to concerned editors or publishers in case of publishing of such kind of news item in their newspapers. </w:t>
      </w:r>
    </w:p>
    <w:p w:rsidR="00C82329" w:rsidRPr="000E3390" w:rsidRDefault="000E3390" w:rsidP="000E3390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39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Complaints about Print Media in Inquiry Commission</w:t>
      </w:r>
    </w:p>
    <w:p w:rsidR="00C82329" w:rsidRPr="0043200D" w:rsidRDefault="00C82329" w:rsidP="00C82329">
      <w:pPr>
        <w:pStyle w:val="ListParagraph"/>
        <w:jc w:val="both"/>
        <w:rPr>
          <w:color w:val="000000" w:themeColor="text1"/>
          <w:sz w:val="28"/>
          <w:szCs w:val="28"/>
        </w:rPr>
      </w:pPr>
    </w:p>
    <w:p w:rsidR="00C82329" w:rsidRPr="0043200D" w:rsidRDefault="00C82329" w:rsidP="00C8232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>Complaints received</w:t>
      </w:r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ab/>
        <w:t>:36  (2019 till date)</w:t>
      </w:r>
    </w:p>
    <w:p w:rsidR="00C82329" w:rsidRPr="0043200D" w:rsidRDefault="00C82329" w:rsidP="00C8232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 xml:space="preserve">Disposed </w:t>
      </w:r>
      <w:proofErr w:type="spellStart"/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>off</w:t>
      </w:r>
      <w:proofErr w:type="spellEnd"/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43200D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>:04</w:t>
      </w:r>
    </w:p>
    <w:p w:rsidR="00C82329" w:rsidRPr="0043200D" w:rsidRDefault="00C82329" w:rsidP="00C8232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>Under Process Complaints</w:t>
      </w:r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ab/>
        <w:t>:29</w:t>
      </w:r>
    </w:p>
    <w:p w:rsidR="00C82329" w:rsidRPr="0043200D" w:rsidRDefault="00C82329" w:rsidP="00C8232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</w:p>
    <w:p w:rsidR="00C82329" w:rsidRPr="0043200D" w:rsidRDefault="00C82329" w:rsidP="00C82329">
      <w:pPr>
        <w:ind w:left="288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00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Notices:</w:t>
      </w:r>
    </w:p>
    <w:p w:rsidR="00C82329" w:rsidRPr="0043200D" w:rsidRDefault="00C82329" w:rsidP="00C82329">
      <w:pPr>
        <w:pStyle w:val="ListParagraph"/>
        <w:jc w:val="both"/>
        <w:rPr>
          <w:color w:val="000000" w:themeColor="text1"/>
          <w:sz w:val="28"/>
          <w:szCs w:val="28"/>
        </w:rPr>
      </w:pPr>
    </w:p>
    <w:p w:rsidR="00C82329" w:rsidRPr="0043200D" w:rsidRDefault="00C82329" w:rsidP="00C8232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43200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201 Notices</w:t>
      </w:r>
      <w:r w:rsidRPr="0043200D">
        <w:rPr>
          <w:rFonts w:eastAsiaTheme="minorEastAsia"/>
          <w:color w:val="000000" w:themeColor="text1"/>
          <w:kern w:val="24"/>
          <w:sz w:val="28"/>
          <w:szCs w:val="28"/>
        </w:rPr>
        <w:t xml:space="preserve"> regarding freedom of Press and violation of PCP’s Ethical Code of Conduct were issued to concerned quarters.</w:t>
      </w:r>
    </w:p>
    <w:p w:rsidR="003453A3" w:rsidRPr="0043200D" w:rsidRDefault="003453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53A3" w:rsidRPr="00432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69E"/>
    <w:multiLevelType w:val="hybridMultilevel"/>
    <w:tmpl w:val="F5569FE4"/>
    <w:lvl w:ilvl="0" w:tplc="880A8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D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CC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85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0B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8F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61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EE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A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1F029C"/>
    <w:multiLevelType w:val="hybridMultilevel"/>
    <w:tmpl w:val="77C09404"/>
    <w:lvl w:ilvl="0" w:tplc="0C56A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08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E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AD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EF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EA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6C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2E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67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C41DB"/>
    <w:multiLevelType w:val="hybridMultilevel"/>
    <w:tmpl w:val="846ED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A8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EA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24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A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42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4F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48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2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691931"/>
    <w:multiLevelType w:val="hybridMultilevel"/>
    <w:tmpl w:val="39B2D60C"/>
    <w:lvl w:ilvl="0" w:tplc="1F5A2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08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2B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22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4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6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6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64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88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6557B1"/>
    <w:multiLevelType w:val="hybridMultilevel"/>
    <w:tmpl w:val="BA0A85C0"/>
    <w:lvl w:ilvl="0" w:tplc="AA5CF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A8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EA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24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A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42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4F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48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2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29"/>
    <w:rsid w:val="000E3390"/>
    <w:rsid w:val="001228EE"/>
    <w:rsid w:val="003453A3"/>
    <w:rsid w:val="0043200D"/>
    <w:rsid w:val="00A2478B"/>
    <w:rsid w:val="00C8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3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3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0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taimur</dc:creator>
  <cp:lastModifiedBy>taimur</cp:lastModifiedBy>
  <cp:revision>5</cp:revision>
  <dcterms:created xsi:type="dcterms:W3CDTF">2021-05-25T08:27:00Z</dcterms:created>
  <dcterms:modified xsi:type="dcterms:W3CDTF">2021-05-25T08:34:00Z</dcterms:modified>
</cp:coreProperties>
</file>